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AC0B4F" w14:textId="3F6E4EFC" w:rsidR="00C03C10" w:rsidRDefault="00A80AD7">
      <w:pPr>
        <w:rPr>
          <w:rFonts w:ascii="Palatino Linotype" w:hAnsi="Palatino Linotype" w:cs="Times New Roman"/>
          <w:snapToGrid w:val="0"/>
          <w:color w:val="000000" w:themeColor="text1"/>
          <w:kern w:val="0"/>
          <w:sz w:val="20"/>
          <w:szCs w:val="20"/>
          <w:lang w:bidi="en-US"/>
        </w:rPr>
      </w:pPr>
      <w:r w:rsidRPr="00A80AD7">
        <w:rPr>
          <w:rFonts w:ascii="Palatino Linotype" w:hAnsi="Palatino Linotype"/>
          <w:b/>
          <w:bCs/>
        </w:rPr>
        <w:t>Methods S-1</w:t>
      </w:r>
      <w:r w:rsidRPr="00A80AD7">
        <w:rPr>
          <w:rFonts w:ascii="Palatino Linotype" w:hAnsi="Palatino Linotype"/>
        </w:rPr>
        <w:t xml:space="preserve">. </w:t>
      </w:r>
      <w:r w:rsidRPr="00A80AD7">
        <w:rPr>
          <w:rFonts w:ascii="Palatino Linotype" w:hAnsi="Palatino Linotype" w:cs="Times New Roman"/>
          <w:snapToGrid w:val="0"/>
          <w:color w:val="000000" w:themeColor="text1"/>
          <w:kern w:val="0"/>
          <w:sz w:val="20"/>
          <w:szCs w:val="20"/>
          <w:lang w:bidi="en-US"/>
        </w:rPr>
        <w:t>RNA-Seq libraries construction, sequencing and bioinformation analysis</w:t>
      </w:r>
    </w:p>
    <w:p w14:paraId="05D8F1BE" w14:textId="229413CC" w:rsidR="00A80AD7" w:rsidRDefault="00A80AD7">
      <w:pPr>
        <w:rPr>
          <w:rFonts w:ascii="Palatino Linotype" w:hAnsi="Palatino Linotype" w:cs="Times New Roman"/>
          <w:snapToGrid w:val="0"/>
          <w:color w:val="000000" w:themeColor="text1"/>
          <w:kern w:val="0"/>
          <w:sz w:val="20"/>
          <w:szCs w:val="20"/>
          <w:lang w:bidi="en-US"/>
        </w:rPr>
      </w:pPr>
      <w:r w:rsidRPr="00041507">
        <w:rPr>
          <w:rFonts w:ascii="Palatino Linotype" w:eastAsia="Times New Roman" w:hAnsi="Palatino Linotype" w:cs="Times New Roman"/>
          <w:snapToGrid w:val="0"/>
          <w:color w:val="000000" w:themeColor="text1"/>
          <w:kern w:val="0"/>
          <w:sz w:val="20"/>
          <w:szCs w:val="20"/>
          <w:lang w:eastAsia="de-DE" w:bidi="en-US"/>
        </w:rPr>
        <w:t xml:space="preserve">Total RNA was extracted using </w:t>
      </w:r>
      <w:proofErr w:type="spellStart"/>
      <w:r w:rsidRPr="00041507">
        <w:rPr>
          <w:rFonts w:ascii="Palatino Linotype" w:eastAsia="Times New Roman" w:hAnsi="Palatino Linotype" w:cs="Times New Roman"/>
          <w:snapToGrid w:val="0"/>
          <w:color w:val="000000" w:themeColor="text1"/>
          <w:kern w:val="0"/>
          <w:sz w:val="20"/>
          <w:szCs w:val="20"/>
          <w:lang w:eastAsia="de-DE" w:bidi="en-US"/>
        </w:rPr>
        <w:t>TRIzol</w:t>
      </w:r>
      <w:proofErr w:type="spellEnd"/>
      <w:r w:rsidRPr="00041507">
        <w:rPr>
          <w:rFonts w:ascii="Palatino Linotype" w:eastAsia="Times New Roman" w:hAnsi="Palatino Linotype" w:cs="Times New Roman"/>
          <w:snapToGrid w:val="0"/>
          <w:color w:val="000000" w:themeColor="text1"/>
          <w:kern w:val="0"/>
          <w:sz w:val="20"/>
          <w:szCs w:val="20"/>
          <w:lang w:eastAsia="de-DE" w:bidi="en-US"/>
        </w:rPr>
        <w:t xml:space="preserve"> Reagent (</w:t>
      </w:r>
      <w:proofErr w:type="spellStart"/>
      <w:r w:rsidRPr="00041507">
        <w:rPr>
          <w:rFonts w:ascii="Palatino Linotype" w:eastAsia="Times New Roman" w:hAnsi="Palatino Linotype" w:cs="Times New Roman"/>
          <w:snapToGrid w:val="0"/>
          <w:color w:val="000000" w:themeColor="text1"/>
          <w:kern w:val="0"/>
          <w:sz w:val="20"/>
          <w:szCs w:val="20"/>
          <w:lang w:eastAsia="de-DE" w:bidi="en-US"/>
        </w:rPr>
        <w:t>LifeTechnologies</w:t>
      </w:r>
      <w:proofErr w:type="spellEnd"/>
      <w:r w:rsidRPr="00041507">
        <w:rPr>
          <w:rFonts w:ascii="Palatino Linotype" w:eastAsia="Times New Roman" w:hAnsi="Palatino Linotype" w:cs="Times New Roman"/>
          <w:snapToGrid w:val="0"/>
          <w:color w:val="000000" w:themeColor="text1"/>
          <w:kern w:val="0"/>
          <w:sz w:val="20"/>
          <w:szCs w:val="20"/>
          <w:lang w:eastAsia="de-DE" w:bidi="en-US"/>
        </w:rPr>
        <w:t xml:space="preserve">, CA, USA) following the manufacturer's instructions, and the RNA integrity was verified using an Agilent 2100 RNA Nano 6000 Assay Kit (Agilent </w:t>
      </w:r>
      <w:proofErr w:type="spellStart"/>
      <w:r w:rsidRPr="00041507">
        <w:rPr>
          <w:rFonts w:ascii="Palatino Linotype" w:eastAsia="Times New Roman" w:hAnsi="Palatino Linotype" w:cs="Times New Roman"/>
          <w:snapToGrid w:val="0"/>
          <w:color w:val="000000" w:themeColor="text1"/>
          <w:kern w:val="0"/>
          <w:sz w:val="20"/>
          <w:szCs w:val="20"/>
          <w:lang w:eastAsia="de-DE" w:bidi="en-US"/>
        </w:rPr>
        <w:t>Te</w:t>
      </w:r>
      <w:r w:rsidRPr="00EC70F9">
        <w:rPr>
          <w:rFonts w:ascii="Palatino Linotype" w:hAnsi="Palatino Linotype" w:cs="Times New Roman"/>
          <w:snapToGrid w:val="0"/>
          <w:color w:val="000000" w:themeColor="text1"/>
          <w:kern w:val="0"/>
          <w:sz w:val="20"/>
          <w:szCs w:val="20"/>
          <w:lang w:bidi="en-US"/>
        </w:rPr>
        <w:t>chologies</w:t>
      </w:r>
      <w:proofErr w:type="spellEnd"/>
      <w:r w:rsidRPr="00EC70F9">
        <w:rPr>
          <w:rFonts w:ascii="Palatino Linotype" w:hAnsi="Palatino Linotype" w:cs="Times New Roman"/>
          <w:snapToGrid w:val="0"/>
          <w:color w:val="000000" w:themeColor="text1"/>
          <w:kern w:val="0"/>
          <w:sz w:val="20"/>
          <w:szCs w:val="20"/>
          <w:lang w:bidi="en-US"/>
        </w:rPr>
        <w:t>, CA, USA).</w:t>
      </w:r>
      <w:r>
        <w:rPr>
          <w:rFonts w:ascii="Palatino Linotype" w:hAnsi="Palatino Linotype" w:cs="Times New Roman"/>
          <w:snapToGrid w:val="0"/>
          <w:color w:val="000000" w:themeColor="text1"/>
          <w:kern w:val="0"/>
          <w:sz w:val="20"/>
          <w:szCs w:val="20"/>
          <w:lang w:bidi="en-US"/>
        </w:rPr>
        <w:t xml:space="preserve"> </w:t>
      </w:r>
      <w:r w:rsidRPr="00A80AD7">
        <w:rPr>
          <w:rFonts w:ascii="Palatino Linotype" w:hAnsi="Palatino Linotype" w:cs="Times New Roman"/>
          <w:snapToGrid w:val="0"/>
          <w:color w:val="000000" w:themeColor="text1"/>
          <w:kern w:val="0"/>
          <w:sz w:val="20"/>
          <w:szCs w:val="20"/>
          <w:lang w:bidi="en-US"/>
        </w:rPr>
        <w:t xml:space="preserve">RNA-Seq libraries were constructed using the RNA Library Prep Kit for Illumina according to the manufacturer's instructions (NEB, USA). Library quality was assessed on the Agilent Bioanalyzer 2100 system. The libraries were sequenced on the Illumina </w:t>
      </w:r>
      <w:proofErr w:type="spellStart"/>
      <w:r w:rsidRPr="00A80AD7">
        <w:rPr>
          <w:rFonts w:ascii="Palatino Linotype" w:hAnsi="Palatino Linotype" w:cs="Times New Roman"/>
          <w:snapToGrid w:val="0"/>
          <w:color w:val="000000" w:themeColor="text1"/>
          <w:kern w:val="0"/>
          <w:sz w:val="20"/>
          <w:szCs w:val="20"/>
          <w:lang w:bidi="en-US"/>
        </w:rPr>
        <w:t>HiSeq</w:t>
      </w:r>
      <w:proofErr w:type="spellEnd"/>
      <w:r w:rsidRPr="00A80AD7">
        <w:rPr>
          <w:rFonts w:ascii="Palatino Linotype" w:hAnsi="Palatino Linotype" w:cs="Times New Roman"/>
          <w:snapToGrid w:val="0"/>
          <w:color w:val="000000" w:themeColor="text1"/>
          <w:kern w:val="0"/>
          <w:sz w:val="20"/>
          <w:szCs w:val="20"/>
          <w:lang w:bidi="en-US"/>
        </w:rPr>
        <w:t xml:space="preserve"> 2000 platform (Illumina, USA) based on sequencing by synthesis with 100 bp </w:t>
      </w:r>
      <w:proofErr w:type="spellStart"/>
      <w:r w:rsidRPr="00A80AD7">
        <w:rPr>
          <w:rFonts w:ascii="Palatino Linotype" w:hAnsi="Palatino Linotype" w:cs="Times New Roman"/>
          <w:snapToGrid w:val="0"/>
          <w:color w:val="000000" w:themeColor="text1"/>
          <w:kern w:val="0"/>
          <w:sz w:val="20"/>
          <w:szCs w:val="20"/>
          <w:lang w:bidi="en-US"/>
        </w:rPr>
        <w:t>pairedend</w:t>
      </w:r>
      <w:proofErr w:type="spellEnd"/>
      <w:r w:rsidRPr="00A80AD7">
        <w:rPr>
          <w:rFonts w:ascii="Palatino Linotype" w:hAnsi="Palatino Linotype" w:cs="Times New Roman"/>
          <w:snapToGrid w:val="0"/>
          <w:color w:val="000000" w:themeColor="text1"/>
          <w:kern w:val="0"/>
          <w:sz w:val="20"/>
          <w:szCs w:val="20"/>
          <w:lang w:bidi="en-US"/>
        </w:rPr>
        <w:t xml:space="preserve"> reads (Biomarker Technologies, Beijing). After cleaned removing low quality sequences, the data were de novo assemble into </w:t>
      </w:r>
      <w:proofErr w:type="spellStart"/>
      <w:r w:rsidRPr="00A80AD7">
        <w:rPr>
          <w:rFonts w:ascii="Palatino Linotype" w:hAnsi="Palatino Linotype" w:cs="Times New Roman"/>
          <w:snapToGrid w:val="0"/>
          <w:color w:val="000000" w:themeColor="text1"/>
          <w:kern w:val="0"/>
          <w:sz w:val="20"/>
          <w:szCs w:val="20"/>
          <w:lang w:bidi="en-US"/>
        </w:rPr>
        <w:t>unigenes</w:t>
      </w:r>
      <w:proofErr w:type="spellEnd"/>
      <w:r w:rsidRPr="00A80AD7">
        <w:rPr>
          <w:rFonts w:ascii="Palatino Linotype" w:hAnsi="Palatino Linotype" w:cs="Times New Roman"/>
          <w:snapToGrid w:val="0"/>
          <w:color w:val="000000" w:themeColor="text1"/>
          <w:kern w:val="0"/>
          <w:sz w:val="20"/>
          <w:szCs w:val="20"/>
          <w:lang w:bidi="en-US"/>
        </w:rPr>
        <w:t xml:space="preserve"> using the short reads assembling program Trinity with </w:t>
      </w:r>
      <w:proofErr w:type="spellStart"/>
      <w:r w:rsidRPr="00A80AD7">
        <w:rPr>
          <w:rFonts w:ascii="Palatino Linotype" w:hAnsi="Palatino Linotype" w:cs="Times New Roman"/>
          <w:snapToGrid w:val="0"/>
          <w:color w:val="000000" w:themeColor="text1"/>
          <w:kern w:val="0"/>
          <w:sz w:val="20"/>
          <w:szCs w:val="20"/>
          <w:lang w:bidi="en-US"/>
        </w:rPr>
        <w:t>min_kmer_cov</w:t>
      </w:r>
      <w:proofErr w:type="spellEnd"/>
      <w:r w:rsidRPr="00A80AD7">
        <w:rPr>
          <w:rFonts w:ascii="Palatino Linotype" w:hAnsi="Palatino Linotype" w:cs="Times New Roman"/>
          <w:snapToGrid w:val="0"/>
          <w:color w:val="000000" w:themeColor="text1"/>
          <w:kern w:val="0"/>
          <w:sz w:val="20"/>
          <w:szCs w:val="20"/>
          <w:lang w:bidi="en-US"/>
        </w:rPr>
        <w:t xml:space="preserve"> set to 2 and all other parameters set to default. The databases Nr (NCBI non-redundant protein sequences, NCBI blast); </w:t>
      </w:r>
      <w:proofErr w:type="spellStart"/>
      <w:r w:rsidRPr="00A80AD7">
        <w:rPr>
          <w:rFonts w:ascii="Palatino Linotype" w:hAnsi="Palatino Linotype" w:cs="Times New Roman"/>
          <w:snapToGrid w:val="0"/>
          <w:color w:val="000000" w:themeColor="text1"/>
          <w:kern w:val="0"/>
          <w:sz w:val="20"/>
          <w:szCs w:val="20"/>
          <w:lang w:bidi="en-US"/>
        </w:rPr>
        <w:t>Pfam</w:t>
      </w:r>
      <w:proofErr w:type="spellEnd"/>
      <w:r w:rsidRPr="00A80AD7">
        <w:rPr>
          <w:rFonts w:ascii="Palatino Linotype" w:hAnsi="Palatino Linotype" w:cs="Times New Roman"/>
          <w:snapToGrid w:val="0"/>
          <w:color w:val="000000" w:themeColor="text1"/>
          <w:kern w:val="0"/>
          <w:sz w:val="20"/>
          <w:szCs w:val="20"/>
          <w:lang w:bidi="en-US"/>
        </w:rPr>
        <w:t xml:space="preserve"> (Protein family); KOG/COG (Clusters of Orthologous Groups of proteins,); Swiss </w:t>
      </w:r>
      <w:proofErr w:type="spellStart"/>
      <w:r w:rsidRPr="00A80AD7">
        <w:rPr>
          <w:rFonts w:ascii="Palatino Linotype" w:hAnsi="Palatino Linotype" w:cs="Times New Roman"/>
          <w:snapToGrid w:val="0"/>
          <w:color w:val="000000" w:themeColor="text1"/>
          <w:kern w:val="0"/>
          <w:sz w:val="20"/>
          <w:szCs w:val="20"/>
          <w:lang w:bidi="en-US"/>
        </w:rPr>
        <w:t>Prot</w:t>
      </w:r>
      <w:proofErr w:type="spellEnd"/>
      <w:r w:rsidRPr="00A80AD7">
        <w:rPr>
          <w:rFonts w:ascii="Palatino Linotype" w:hAnsi="Palatino Linotype" w:cs="Times New Roman"/>
          <w:snapToGrid w:val="0"/>
          <w:color w:val="000000" w:themeColor="text1"/>
          <w:kern w:val="0"/>
          <w:sz w:val="20"/>
          <w:szCs w:val="20"/>
          <w:lang w:bidi="en-US"/>
        </w:rPr>
        <w:t xml:space="preserve"> (a manually annotated and reviewed protein sequence database); KO (KEGG Ortholog database); and GO (Gene Ontology) were used to annotate the gene function.</w:t>
      </w:r>
    </w:p>
    <w:p w14:paraId="25C82F82" w14:textId="0BD36320" w:rsidR="00A80AD7" w:rsidRDefault="00A80AD7">
      <w:pPr>
        <w:rPr>
          <w:rFonts w:ascii="Palatino Linotype" w:hAnsi="Palatino Linotype" w:cs="Times New Roman"/>
          <w:snapToGrid w:val="0"/>
          <w:color w:val="000000" w:themeColor="text1"/>
          <w:kern w:val="0"/>
          <w:sz w:val="20"/>
          <w:szCs w:val="20"/>
          <w:lang w:bidi="en-US"/>
        </w:rPr>
      </w:pPr>
    </w:p>
    <w:p w14:paraId="360D79BB" w14:textId="33150C77" w:rsidR="00A80AD7" w:rsidRPr="00A80AD7" w:rsidRDefault="00A80AD7" w:rsidP="00A80AD7">
      <w:pPr>
        <w:rPr>
          <w:rFonts w:ascii="Palatino Linotype" w:eastAsia="Times New Roman" w:hAnsi="Palatino Linotype" w:cs="Times New Roman"/>
          <w:snapToGrid w:val="0"/>
          <w:color w:val="000000" w:themeColor="text1"/>
          <w:kern w:val="0"/>
          <w:sz w:val="20"/>
          <w:szCs w:val="20"/>
          <w:lang w:eastAsia="de-DE" w:bidi="en-US"/>
        </w:rPr>
      </w:pPr>
      <w:r w:rsidRPr="00A80AD7">
        <w:rPr>
          <w:rFonts w:ascii="Palatino Linotype" w:hAnsi="Palatino Linotype" w:cs="Times New Roman" w:hint="eastAsia"/>
          <w:b/>
          <w:bCs/>
          <w:snapToGrid w:val="0"/>
          <w:color w:val="000000" w:themeColor="text1"/>
          <w:kern w:val="0"/>
          <w:sz w:val="20"/>
          <w:szCs w:val="20"/>
          <w:lang w:bidi="en-US"/>
        </w:rPr>
        <w:t>M</w:t>
      </w:r>
      <w:r w:rsidRPr="00A80AD7">
        <w:rPr>
          <w:rFonts w:ascii="Palatino Linotype" w:hAnsi="Palatino Linotype" w:cs="Times New Roman"/>
          <w:b/>
          <w:bCs/>
          <w:snapToGrid w:val="0"/>
          <w:color w:val="000000" w:themeColor="text1"/>
          <w:kern w:val="0"/>
          <w:sz w:val="20"/>
          <w:szCs w:val="20"/>
          <w:lang w:bidi="en-US"/>
        </w:rPr>
        <w:t>ethod S-2</w:t>
      </w:r>
      <w:r>
        <w:rPr>
          <w:rFonts w:ascii="Palatino Linotype" w:hAnsi="Palatino Linotype" w:cs="Times New Roman"/>
          <w:snapToGrid w:val="0"/>
          <w:color w:val="000000" w:themeColor="text1"/>
          <w:kern w:val="0"/>
          <w:sz w:val="20"/>
          <w:szCs w:val="20"/>
          <w:lang w:bidi="en-US"/>
        </w:rPr>
        <w:t xml:space="preserve">. </w:t>
      </w:r>
      <w:r w:rsidRPr="00A80AD7">
        <w:rPr>
          <w:rFonts w:ascii="Palatino Linotype" w:eastAsia="Times New Roman" w:hAnsi="Palatino Linotype" w:cs="Times New Roman"/>
          <w:snapToGrid w:val="0"/>
          <w:color w:val="000000" w:themeColor="text1"/>
          <w:kern w:val="0"/>
          <w:sz w:val="20"/>
          <w:szCs w:val="20"/>
          <w:lang w:eastAsia="de-DE" w:bidi="en-US"/>
        </w:rPr>
        <w:t xml:space="preserve">Protein sample preparation </w:t>
      </w:r>
      <w:r>
        <w:rPr>
          <w:rFonts w:ascii="Palatino Linotype" w:eastAsia="Times New Roman" w:hAnsi="Palatino Linotype" w:cs="Times New Roman"/>
          <w:snapToGrid w:val="0"/>
          <w:color w:val="000000" w:themeColor="text1"/>
          <w:kern w:val="0"/>
          <w:sz w:val="20"/>
          <w:szCs w:val="20"/>
          <w:lang w:eastAsia="de-DE" w:bidi="en-US"/>
        </w:rPr>
        <w:t xml:space="preserve">and </w:t>
      </w:r>
      <w:r w:rsidRPr="00A80AD7">
        <w:rPr>
          <w:rFonts w:ascii="Palatino Linotype" w:eastAsia="Times New Roman" w:hAnsi="Palatino Linotype" w:cs="Times New Roman"/>
          <w:snapToGrid w:val="0"/>
          <w:color w:val="000000" w:themeColor="text1"/>
          <w:kern w:val="0"/>
          <w:sz w:val="20"/>
          <w:szCs w:val="20"/>
          <w:lang w:eastAsia="de-DE" w:bidi="en-US"/>
        </w:rPr>
        <w:t xml:space="preserve">LC-MS/MS Analysis </w:t>
      </w:r>
    </w:p>
    <w:p w14:paraId="6863A553" w14:textId="77777777" w:rsidR="00A80AD7" w:rsidRPr="00A80AD7" w:rsidRDefault="00A80AD7" w:rsidP="00A80AD7">
      <w:pPr>
        <w:rPr>
          <w:rFonts w:ascii="Palatino Linotype" w:eastAsia="Times New Roman" w:hAnsi="Palatino Linotype" w:cs="Times New Roman"/>
          <w:snapToGrid w:val="0"/>
          <w:color w:val="000000" w:themeColor="text1"/>
          <w:kern w:val="0"/>
          <w:sz w:val="20"/>
          <w:szCs w:val="20"/>
          <w:lang w:eastAsia="de-DE" w:bidi="en-US"/>
        </w:rPr>
      </w:pPr>
      <w:r w:rsidRPr="00A80AD7">
        <w:rPr>
          <w:rFonts w:ascii="Palatino Linotype" w:eastAsia="Times New Roman" w:hAnsi="Palatino Linotype" w:cs="Times New Roman"/>
          <w:snapToGrid w:val="0"/>
          <w:color w:val="000000" w:themeColor="text1"/>
          <w:kern w:val="0"/>
          <w:sz w:val="20"/>
          <w:szCs w:val="20"/>
          <w:lang w:eastAsia="de-DE" w:bidi="en-US"/>
        </w:rPr>
        <w:t>The plant samples were grinded by liquid nitrogen into cell powder and then added four volumes of lysis buffer (8 M urea, 1% Triton-100, 10 mM dithiothreitol, and 1 % Protease Inhibitor Cocktail), followed by sonication three times on ice using a high intensity ultrasonic processor (</w:t>
      </w:r>
      <w:proofErr w:type="spellStart"/>
      <w:r w:rsidRPr="00A80AD7">
        <w:rPr>
          <w:rFonts w:ascii="Palatino Linotype" w:eastAsia="Times New Roman" w:hAnsi="Palatino Linotype" w:cs="Times New Roman"/>
          <w:snapToGrid w:val="0"/>
          <w:color w:val="000000" w:themeColor="text1"/>
          <w:kern w:val="0"/>
          <w:sz w:val="20"/>
          <w:szCs w:val="20"/>
          <w:lang w:eastAsia="de-DE" w:bidi="en-US"/>
        </w:rPr>
        <w:t>Scientz</w:t>
      </w:r>
      <w:proofErr w:type="spellEnd"/>
      <w:r w:rsidRPr="00A80AD7">
        <w:rPr>
          <w:rFonts w:ascii="Palatino Linotype" w:eastAsia="Times New Roman" w:hAnsi="Palatino Linotype" w:cs="Times New Roman"/>
          <w:snapToGrid w:val="0"/>
          <w:color w:val="000000" w:themeColor="text1"/>
          <w:kern w:val="0"/>
          <w:sz w:val="20"/>
          <w:szCs w:val="20"/>
          <w:lang w:eastAsia="de-DE" w:bidi="en-US"/>
        </w:rPr>
        <w:t>). The remaining debris was removed by centrifugation at 20,000 g at 4 °C for 10 min. Finally, the protein was precipitated with cold 20 % TCA for 2 h at -20 °C. After centrifugation at 12,000 g 4 °C for 10 min, the supernatant was discarded. The remaining precipitate was washed with cold acetone for three times. T</w:t>
      </w:r>
      <w:bookmarkStart w:id="0" w:name="OLE_LINK8"/>
      <w:bookmarkStart w:id="1" w:name="OLE_LINK9"/>
      <w:r w:rsidRPr="00A80AD7">
        <w:rPr>
          <w:rFonts w:ascii="Palatino Linotype" w:eastAsia="Times New Roman" w:hAnsi="Palatino Linotype" w:cs="Times New Roman"/>
          <w:snapToGrid w:val="0"/>
          <w:color w:val="000000" w:themeColor="text1"/>
          <w:kern w:val="0"/>
          <w:sz w:val="20"/>
          <w:szCs w:val="20"/>
          <w:lang w:eastAsia="de-DE" w:bidi="en-US"/>
        </w:rPr>
        <w:t xml:space="preserve">he protein was </w:t>
      </w:r>
      <w:proofErr w:type="spellStart"/>
      <w:r w:rsidRPr="00A80AD7">
        <w:rPr>
          <w:rFonts w:ascii="Palatino Linotype" w:eastAsia="Times New Roman" w:hAnsi="Palatino Linotype" w:cs="Times New Roman"/>
          <w:snapToGrid w:val="0"/>
          <w:color w:val="000000" w:themeColor="text1"/>
          <w:kern w:val="0"/>
          <w:sz w:val="20"/>
          <w:szCs w:val="20"/>
          <w:lang w:eastAsia="de-DE" w:bidi="en-US"/>
        </w:rPr>
        <w:t>redissolved</w:t>
      </w:r>
      <w:proofErr w:type="spellEnd"/>
      <w:r w:rsidRPr="00A80AD7">
        <w:rPr>
          <w:rFonts w:ascii="Palatino Linotype" w:eastAsia="Times New Roman" w:hAnsi="Palatino Linotype" w:cs="Times New Roman"/>
          <w:snapToGrid w:val="0"/>
          <w:color w:val="000000" w:themeColor="text1"/>
          <w:kern w:val="0"/>
          <w:sz w:val="20"/>
          <w:szCs w:val="20"/>
          <w:lang w:eastAsia="de-DE" w:bidi="en-US"/>
        </w:rPr>
        <w:t xml:space="preserve"> in 8 M urea and the protein concentration was determined with BCA kit according to the manufacturer’s instructions.</w:t>
      </w:r>
    </w:p>
    <w:bookmarkEnd w:id="0"/>
    <w:bookmarkEnd w:id="1"/>
    <w:p w14:paraId="51CA427C" w14:textId="77777777" w:rsidR="00A80AD7" w:rsidRPr="00A80AD7" w:rsidRDefault="00A80AD7" w:rsidP="00A80AD7">
      <w:pPr>
        <w:rPr>
          <w:rFonts w:ascii="Palatino Linotype" w:eastAsia="Times New Roman" w:hAnsi="Palatino Linotype" w:cs="Times New Roman"/>
          <w:snapToGrid w:val="0"/>
          <w:color w:val="000000" w:themeColor="text1"/>
          <w:kern w:val="0"/>
          <w:sz w:val="20"/>
          <w:szCs w:val="20"/>
          <w:lang w:eastAsia="de-DE" w:bidi="en-US"/>
        </w:rPr>
      </w:pPr>
      <w:r w:rsidRPr="00A80AD7">
        <w:rPr>
          <w:rFonts w:ascii="Palatino Linotype" w:eastAsia="Times New Roman" w:hAnsi="Palatino Linotype" w:cs="Times New Roman" w:hint="eastAsia"/>
          <w:snapToGrid w:val="0"/>
          <w:color w:val="000000" w:themeColor="text1"/>
          <w:kern w:val="0"/>
          <w:sz w:val="20"/>
          <w:szCs w:val="20"/>
          <w:lang w:eastAsia="de-DE" w:bidi="en-US"/>
        </w:rPr>
        <w:t>After trypsin digestion</w:t>
      </w:r>
      <w:r w:rsidRPr="00A80AD7">
        <w:rPr>
          <w:rFonts w:ascii="Palatino Linotype" w:eastAsia="Times New Roman" w:hAnsi="Palatino Linotype" w:cs="Times New Roman"/>
          <w:snapToGrid w:val="0"/>
          <w:color w:val="000000" w:themeColor="text1"/>
          <w:kern w:val="0"/>
          <w:sz w:val="20"/>
          <w:szCs w:val="20"/>
          <w:lang w:eastAsia="de-DE" w:bidi="en-US"/>
        </w:rPr>
        <w:t>, the protein</w:t>
      </w:r>
      <w:r w:rsidRPr="00A80AD7">
        <w:rPr>
          <w:rFonts w:ascii="Palatino Linotype" w:eastAsia="Times New Roman" w:hAnsi="Palatino Linotype" w:cs="Times New Roman" w:hint="eastAsia"/>
          <w:snapToGrid w:val="0"/>
          <w:color w:val="000000" w:themeColor="text1"/>
          <w:kern w:val="0"/>
          <w:sz w:val="20"/>
          <w:szCs w:val="20"/>
          <w:lang w:eastAsia="de-DE" w:bidi="en-US"/>
        </w:rPr>
        <w:t xml:space="preserve"> </w:t>
      </w:r>
      <w:r w:rsidRPr="00A80AD7">
        <w:rPr>
          <w:rFonts w:ascii="Palatino Linotype" w:eastAsia="Times New Roman" w:hAnsi="Palatino Linotype" w:cs="Times New Roman"/>
          <w:snapToGrid w:val="0"/>
          <w:color w:val="000000" w:themeColor="text1"/>
          <w:kern w:val="0"/>
          <w:sz w:val="20"/>
          <w:szCs w:val="20"/>
          <w:lang w:eastAsia="de-DE" w:bidi="en-US"/>
        </w:rPr>
        <w:t xml:space="preserve">was desalted by Strata X C18 SPE column (Phenomenex) and vacuum-dried. Peptide was reconstituted in 0.5M TEAB according to the manufacturer’s protocol of TMT kit. Briefly, one unit of TMT reagent were thawed and reconstituted in acetonitrile. The peptide mixtures were then incubated for 2 h at room temperature and pooled, desalted and dried by vacuum centrifugation. The tryptic peptides were fractionated into fractions by high pH reverse-phase HPLC using Agilent 300Extend C18 column (5 </w:t>
      </w:r>
      <w:proofErr w:type="spellStart"/>
      <w:r w:rsidRPr="00A80AD7">
        <w:rPr>
          <w:rFonts w:ascii="Palatino Linotype" w:eastAsia="Times New Roman" w:hAnsi="Palatino Linotype" w:cs="Times New Roman"/>
          <w:snapToGrid w:val="0"/>
          <w:color w:val="000000" w:themeColor="text1"/>
          <w:kern w:val="0"/>
          <w:sz w:val="20"/>
          <w:szCs w:val="20"/>
          <w:lang w:eastAsia="de-DE" w:bidi="en-US"/>
        </w:rPr>
        <w:t>μm</w:t>
      </w:r>
      <w:proofErr w:type="spellEnd"/>
      <w:r w:rsidRPr="00A80AD7">
        <w:rPr>
          <w:rFonts w:ascii="Palatino Linotype" w:eastAsia="Times New Roman" w:hAnsi="Palatino Linotype" w:cs="Times New Roman"/>
          <w:snapToGrid w:val="0"/>
          <w:color w:val="000000" w:themeColor="text1"/>
          <w:kern w:val="0"/>
          <w:sz w:val="20"/>
          <w:szCs w:val="20"/>
          <w:lang w:eastAsia="de-DE" w:bidi="en-US"/>
        </w:rPr>
        <w:t xml:space="preserve"> particles, 4.6 mm ID, 250 mm length). Briefly, peptides were first separated with a gradient of 8% to 32% acetonitrile (pH 9.0) over 60 min into 60 fractions. Then, the peptides were combined into 18 fractions and dried by vacuum centrifuging. </w:t>
      </w:r>
    </w:p>
    <w:p w14:paraId="682DC15E" w14:textId="77777777" w:rsidR="00A80AD7" w:rsidRPr="00A80AD7" w:rsidRDefault="00A80AD7" w:rsidP="00A80AD7">
      <w:pPr>
        <w:rPr>
          <w:rFonts w:ascii="Palatino Linotype" w:eastAsia="Times New Roman" w:hAnsi="Palatino Linotype" w:cs="Times New Roman"/>
          <w:snapToGrid w:val="0"/>
          <w:color w:val="000000" w:themeColor="text1"/>
          <w:kern w:val="0"/>
          <w:sz w:val="20"/>
          <w:szCs w:val="20"/>
          <w:lang w:eastAsia="de-DE" w:bidi="en-US"/>
        </w:rPr>
      </w:pPr>
      <w:r w:rsidRPr="00A80AD7">
        <w:rPr>
          <w:rFonts w:ascii="Palatino Linotype" w:eastAsia="Times New Roman" w:hAnsi="Palatino Linotype" w:cs="Times New Roman"/>
          <w:snapToGrid w:val="0"/>
          <w:color w:val="000000" w:themeColor="text1"/>
          <w:kern w:val="0"/>
          <w:sz w:val="20"/>
          <w:szCs w:val="20"/>
          <w:lang w:eastAsia="de-DE" w:bidi="en-US"/>
        </w:rPr>
        <w:t xml:space="preserve">The tryptic peptides were dissolved in 0.1% formic acid (solvent A), directly loaded onto a home-made reversed-phase analytical column (15-cm length, 75 </w:t>
      </w:r>
      <w:proofErr w:type="spellStart"/>
      <w:r w:rsidRPr="00A80AD7">
        <w:rPr>
          <w:rFonts w:ascii="Palatino Linotype" w:eastAsia="Times New Roman" w:hAnsi="Palatino Linotype" w:cs="Times New Roman"/>
          <w:snapToGrid w:val="0"/>
          <w:color w:val="000000" w:themeColor="text1"/>
          <w:kern w:val="0"/>
          <w:sz w:val="20"/>
          <w:szCs w:val="20"/>
          <w:lang w:eastAsia="de-DE" w:bidi="en-US"/>
        </w:rPr>
        <w:t>μm</w:t>
      </w:r>
      <w:proofErr w:type="spellEnd"/>
      <w:r w:rsidRPr="00A80AD7">
        <w:rPr>
          <w:rFonts w:ascii="Palatino Linotype" w:eastAsia="Times New Roman" w:hAnsi="Palatino Linotype" w:cs="Times New Roman"/>
          <w:snapToGrid w:val="0"/>
          <w:color w:val="000000" w:themeColor="text1"/>
          <w:kern w:val="0"/>
          <w:sz w:val="20"/>
          <w:szCs w:val="20"/>
          <w:lang w:eastAsia="de-DE" w:bidi="en-US"/>
        </w:rPr>
        <w:t xml:space="preserve"> i.d.). The gradient was comprised of an increase from 6% to 23% solvent B (0.1% formic acid in 98% acetonitrile) over 26 min, 23% to 35% in 8 min and climbing to 80% in 3 min then holding at 80% for the last 3 min, all at a constant flow rate of 400 </w:t>
      </w:r>
      <w:proofErr w:type="spellStart"/>
      <w:r w:rsidRPr="00A80AD7">
        <w:rPr>
          <w:rFonts w:ascii="Palatino Linotype" w:eastAsia="Times New Roman" w:hAnsi="Palatino Linotype" w:cs="Times New Roman"/>
          <w:snapToGrid w:val="0"/>
          <w:color w:val="000000" w:themeColor="text1"/>
          <w:kern w:val="0"/>
          <w:sz w:val="20"/>
          <w:szCs w:val="20"/>
          <w:lang w:eastAsia="de-DE" w:bidi="en-US"/>
        </w:rPr>
        <w:t>nL</w:t>
      </w:r>
      <w:proofErr w:type="spellEnd"/>
      <w:r w:rsidRPr="00A80AD7">
        <w:rPr>
          <w:rFonts w:ascii="Palatino Linotype" w:eastAsia="Times New Roman" w:hAnsi="Palatino Linotype" w:cs="Times New Roman"/>
          <w:snapToGrid w:val="0"/>
          <w:color w:val="000000" w:themeColor="text1"/>
          <w:kern w:val="0"/>
          <w:sz w:val="20"/>
          <w:szCs w:val="20"/>
          <w:lang w:eastAsia="de-DE" w:bidi="en-US"/>
        </w:rPr>
        <w:t>/min on an EASY-</w:t>
      </w:r>
      <w:proofErr w:type="spellStart"/>
      <w:r w:rsidRPr="00A80AD7">
        <w:rPr>
          <w:rFonts w:ascii="Palatino Linotype" w:eastAsia="Times New Roman" w:hAnsi="Palatino Linotype" w:cs="Times New Roman"/>
          <w:snapToGrid w:val="0"/>
          <w:color w:val="000000" w:themeColor="text1"/>
          <w:kern w:val="0"/>
          <w:sz w:val="20"/>
          <w:szCs w:val="20"/>
          <w:lang w:eastAsia="de-DE" w:bidi="en-US"/>
        </w:rPr>
        <w:t>nLC</w:t>
      </w:r>
      <w:proofErr w:type="spellEnd"/>
      <w:r w:rsidRPr="00A80AD7">
        <w:rPr>
          <w:rFonts w:ascii="Palatino Linotype" w:eastAsia="Times New Roman" w:hAnsi="Palatino Linotype" w:cs="Times New Roman"/>
          <w:snapToGrid w:val="0"/>
          <w:color w:val="000000" w:themeColor="text1"/>
          <w:kern w:val="0"/>
          <w:sz w:val="20"/>
          <w:szCs w:val="20"/>
          <w:lang w:eastAsia="de-DE" w:bidi="en-US"/>
        </w:rPr>
        <w:t xml:space="preserve"> 1000 UPLC system. The peptides were subjected to NSI source followed by tandem mass spectrometry (MS/MS) in Q </w:t>
      </w:r>
      <w:proofErr w:type="spellStart"/>
      <w:r w:rsidRPr="00A80AD7">
        <w:rPr>
          <w:rFonts w:ascii="Palatino Linotype" w:eastAsia="Times New Roman" w:hAnsi="Palatino Linotype" w:cs="Times New Roman"/>
          <w:snapToGrid w:val="0"/>
          <w:color w:val="000000" w:themeColor="text1"/>
          <w:kern w:val="0"/>
          <w:sz w:val="20"/>
          <w:szCs w:val="20"/>
          <w:lang w:eastAsia="de-DE" w:bidi="en-US"/>
        </w:rPr>
        <w:t>Exactive</w:t>
      </w:r>
      <w:proofErr w:type="spellEnd"/>
      <w:r w:rsidRPr="00A80AD7">
        <w:rPr>
          <w:rFonts w:ascii="Palatino Linotype" w:eastAsia="Times New Roman" w:hAnsi="Palatino Linotype" w:cs="Times New Roman"/>
          <w:snapToGrid w:val="0"/>
          <w:color w:val="000000" w:themeColor="text1"/>
          <w:kern w:val="0"/>
          <w:sz w:val="20"/>
          <w:szCs w:val="20"/>
          <w:lang w:eastAsia="de-DE" w:bidi="en-US"/>
        </w:rPr>
        <w:t xml:space="preserve"> TM Plus (Thermo) coupled online to the UPLC. The electrospray voltage applied was 2.0 kV. The m/z scan range was 350 to 1800 for full scan, and intact peptides were detected in the Orbitrap at a resolution of 70,000. Peptides were then selected for MS/MS using NCE setting as 28 and the fragments were detected in the Orbitrap at a resolution of 17,500. A data-dependent </w:t>
      </w:r>
      <w:r w:rsidRPr="00A80AD7">
        <w:rPr>
          <w:rFonts w:ascii="Palatino Linotype" w:eastAsia="Times New Roman" w:hAnsi="Palatino Linotype" w:cs="Times New Roman"/>
          <w:snapToGrid w:val="0"/>
          <w:color w:val="000000" w:themeColor="text1"/>
          <w:kern w:val="0"/>
          <w:sz w:val="20"/>
          <w:szCs w:val="20"/>
          <w:lang w:eastAsia="de-DE" w:bidi="en-US"/>
        </w:rPr>
        <w:lastRenderedPageBreak/>
        <w:t>procedure that alternated between one MS scan followed by 20 MS/MS scans with 15.0s dynamic exclusion. Automatic gain control (AGC) was set at 5E4. Fixed first mass was set as 100 m/z.</w:t>
      </w:r>
    </w:p>
    <w:p w14:paraId="3E6026D7" w14:textId="0B273463" w:rsidR="00A80AD7" w:rsidRPr="00A80AD7" w:rsidRDefault="00A80AD7" w:rsidP="00A80AD7">
      <w:pPr>
        <w:rPr>
          <w:rFonts w:ascii="Palatino Linotype" w:eastAsia="Times New Roman" w:hAnsi="Palatino Linotype" w:cs="Times New Roman"/>
          <w:snapToGrid w:val="0"/>
          <w:color w:val="000000" w:themeColor="text1"/>
          <w:kern w:val="0"/>
          <w:sz w:val="20"/>
          <w:szCs w:val="20"/>
          <w:lang w:eastAsia="de-DE" w:bidi="en-US"/>
        </w:rPr>
      </w:pPr>
      <w:r w:rsidRPr="00A80AD7">
        <w:rPr>
          <w:rFonts w:ascii="Palatino Linotype" w:eastAsia="Times New Roman" w:hAnsi="Palatino Linotype" w:cs="Times New Roman"/>
          <w:snapToGrid w:val="0"/>
          <w:color w:val="000000" w:themeColor="text1"/>
          <w:kern w:val="0"/>
          <w:sz w:val="20"/>
          <w:szCs w:val="20"/>
          <w:lang w:eastAsia="de-DE" w:bidi="en-US"/>
        </w:rPr>
        <w:t xml:space="preserve">The resulting MS/MS data were processed using </w:t>
      </w:r>
      <w:proofErr w:type="spellStart"/>
      <w:r w:rsidRPr="00A80AD7">
        <w:rPr>
          <w:rFonts w:ascii="Palatino Linotype" w:eastAsia="Times New Roman" w:hAnsi="Palatino Linotype" w:cs="Times New Roman"/>
          <w:snapToGrid w:val="0"/>
          <w:color w:val="000000" w:themeColor="text1"/>
          <w:kern w:val="0"/>
          <w:sz w:val="20"/>
          <w:szCs w:val="20"/>
          <w:lang w:eastAsia="de-DE" w:bidi="en-US"/>
        </w:rPr>
        <w:t>Maxquant</w:t>
      </w:r>
      <w:proofErr w:type="spellEnd"/>
      <w:r w:rsidRPr="00A80AD7">
        <w:rPr>
          <w:rFonts w:ascii="Palatino Linotype" w:eastAsia="Times New Roman" w:hAnsi="Palatino Linotype" w:cs="Times New Roman"/>
          <w:snapToGrid w:val="0"/>
          <w:color w:val="000000" w:themeColor="text1"/>
          <w:kern w:val="0"/>
          <w:sz w:val="20"/>
          <w:szCs w:val="20"/>
          <w:lang w:eastAsia="de-DE" w:bidi="en-US"/>
        </w:rPr>
        <w:t xml:space="preserve"> search engine (v.1.5.2.8). Tandem mass spectra were searched against </w:t>
      </w:r>
      <w:bookmarkStart w:id="2" w:name="_Hlk50990087"/>
      <w:r w:rsidR="00D41A5F">
        <w:rPr>
          <w:rFonts w:ascii="Palatino Linotype" w:eastAsia="Times New Roman" w:hAnsi="Palatino Linotype" w:cs="Times New Roman"/>
          <w:snapToGrid w:val="0"/>
          <w:color w:val="000000" w:themeColor="text1"/>
          <w:kern w:val="0"/>
          <w:sz w:val="20"/>
          <w:szCs w:val="20"/>
          <w:lang w:eastAsia="de-DE" w:bidi="en-US"/>
        </w:rPr>
        <w:t>Self-built Database of APT (Shanghai Applied Protein Technology</w:t>
      </w:r>
      <w:r w:rsidR="00F660E1">
        <w:rPr>
          <w:rFonts w:ascii="Palatino Linotype" w:eastAsia="Times New Roman" w:hAnsi="Palatino Linotype" w:cs="Times New Roman"/>
          <w:snapToGrid w:val="0"/>
          <w:color w:val="000000" w:themeColor="text1"/>
          <w:kern w:val="0"/>
          <w:sz w:val="20"/>
          <w:szCs w:val="20"/>
          <w:lang w:eastAsia="de-DE" w:bidi="en-US"/>
        </w:rPr>
        <w:t xml:space="preserve">, Shanghai) </w:t>
      </w:r>
      <w:bookmarkEnd w:id="2"/>
      <w:r w:rsidRPr="00A80AD7">
        <w:rPr>
          <w:rFonts w:ascii="Palatino Linotype" w:eastAsia="Times New Roman" w:hAnsi="Palatino Linotype" w:cs="Times New Roman"/>
          <w:snapToGrid w:val="0"/>
          <w:color w:val="000000" w:themeColor="text1"/>
          <w:kern w:val="0"/>
          <w:sz w:val="20"/>
          <w:szCs w:val="20"/>
          <w:lang w:eastAsia="de-DE" w:bidi="en-US"/>
        </w:rPr>
        <w:t xml:space="preserve">concatenated with reverse decoy database. Trypsin/P was specified as cleavage enzyme allowing up to 2 missing cleavages. The mass tolerance for precursor ions was set as 20 ppm in First search and 5 ppm in Main search, and the mass tolerance for fragment ions was set as 0.02 Da. Carbamidomethyl on </w:t>
      </w:r>
      <w:proofErr w:type="spellStart"/>
      <w:r w:rsidRPr="00A80AD7">
        <w:rPr>
          <w:rFonts w:ascii="Palatino Linotype" w:eastAsia="Times New Roman" w:hAnsi="Palatino Linotype" w:cs="Times New Roman"/>
          <w:snapToGrid w:val="0"/>
          <w:color w:val="000000" w:themeColor="text1"/>
          <w:kern w:val="0"/>
          <w:sz w:val="20"/>
          <w:szCs w:val="20"/>
          <w:lang w:eastAsia="de-DE" w:bidi="en-US"/>
        </w:rPr>
        <w:t>Cys</w:t>
      </w:r>
      <w:proofErr w:type="spellEnd"/>
      <w:r w:rsidRPr="00A80AD7">
        <w:rPr>
          <w:rFonts w:ascii="Palatino Linotype" w:eastAsia="Times New Roman" w:hAnsi="Palatino Linotype" w:cs="Times New Roman"/>
          <w:snapToGrid w:val="0"/>
          <w:color w:val="000000" w:themeColor="text1"/>
          <w:kern w:val="0"/>
          <w:sz w:val="20"/>
          <w:szCs w:val="20"/>
          <w:lang w:eastAsia="de-DE" w:bidi="en-US"/>
        </w:rPr>
        <w:t xml:space="preserve"> was specified as fixed modification and oxidation on Met was specified as variable modifications. FDR was adjusted to &lt; 1% and minimum score for peptides was set &gt; 40.</w:t>
      </w:r>
    </w:p>
    <w:p w14:paraId="2B3D6035" w14:textId="77777777" w:rsidR="00A80AD7" w:rsidRPr="00A80AD7" w:rsidRDefault="00A80AD7">
      <w:pPr>
        <w:rPr>
          <w:rFonts w:ascii="Palatino Linotype" w:eastAsia="Times New Roman" w:hAnsi="Palatino Linotype" w:cs="Times New Roman"/>
          <w:snapToGrid w:val="0"/>
          <w:color w:val="000000" w:themeColor="text1"/>
          <w:kern w:val="0"/>
          <w:sz w:val="20"/>
          <w:szCs w:val="20"/>
          <w:lang w:eastAsia="de-DE" w:bidi="en-US"/>
        </w:rPr>
      </w:pPr>
    </w:p>
    <w:sectPr w:rsidR="00A80AD7" w:rsidRPr="00A80A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B7489" w14:textId="77777777" w:rsidR="00B46D4B" w:rsidRDefault="00B46D4B" w:rsidP="00E736D2">
      <w:r>
        <w:separator/>
      </w:r>
    </w:p>
  </w:endnote>
  <w:endnote w:type="continuationSeparator" w:id="0">
    <w:p w14:paraId="06B7E1B9" w14:textId="77777777" w:rsidR="00B46D4B" w:rsidRDefault="00B46D4B" w:rsidP="00E73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237CA" w14:textId="77777777" w:rsidR="00B46D4B" w:rsidRDefault="00B46D4B" w:rsidP="00E736D2">
      <w:r>
        <w:separator/>
      </w:r>
    </w:p>
  </w:footnote>
  <w:footnote w:type="continuationSeparator" w:id="0">
    <w:p w14:paraId="47C882A0" w14:textId="77777777" w:rsidR="00B46D4B" w:rsidRDefault="00B46D4B" w:rsidP="00E736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AD7"/>
    <w:rsid w:val="00156A88"/>
    <w:rsid w:val="004C1600"/>
    <w:rsid w:val="00A23C3E"/>
    <w:rsid w:val="00A80AD7"/>
    <w:rsid w:val="00B46D4B"/>
    <w:rsid w:val="00C03C10"/>
    <w:rsid w:val="00D41A5F"/>
    <w:rsid w:val="00E736D2"/>
    <w:rsid w:val="00F6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37198"/>
  <w15:chartTrackingRefBased/>
  <w15:docId w15:val="{DC0D6AC9-D9D9-4286-8FC1-1CCE70575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next w:val="a"/>
    <w:link w:val="30"/>
    <w:uiPriority w:val="9"/>
    <w:unhideWhenUsed/>
    <w:qFormat/>
    <w:rsid w:val="00A80AD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qFormat/>
    <w:rsid w:val="00A80AD7"/>
    <w:rPr>
      <w:b/>
      <w:bCs/>
      <w:sz w:val="32"/>
      <w:szCs w:val="32"/>
    </w:rPr>
  </w:style>
  <w:style w:type="paragraph" w:styleId="a3">
    <w:name w:val="header"/>
    <w:basedOn w:val="a"/>
    <w:link w:val="a4"/>
    <w:uiPriority w:val="99"/>
    <w:unhideWhenUsed/>
    <w:rsid w:val="00E736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736D2"/>
    <w:rPr>
      <w:sz w:val="18"/>
      <w:szCs w:val="18"/>
    </w:rPr>
  </w:style>
  <w:style w:type="paragraph" w:styleId="a5">
    <w:name w:val="footer"/>
    <w:basedOn w:val="a"/>
    <w:link w:val="a6"/>
    <w:uiPriority w:val="99"/>
    <w:unhideWhenUsed/>
    <w:rsid w:val="00E736D2"/>
    <w:pPr>
      <w:tabs>
        <w:tab w:val="center" w:pos="4153"/>
        <w:tab w:val="right" w:pos="8306"/>
      </w:tabs>
      <w:snapToGrid w:val="0"/>
      <w:jc w:val="left"/>
    </w:pPr>
    <w:rPr>
      <w:sz w:val="18"/>
      <w:szCs w:val="18"/>
    </w:rPr>
  </w:style>
  <w:style w:type="character" w:customStyle="1" w:styleId="a6">
    <w:name w:val="页脚 字符"/>
    <w:basedOn w:val="a0"/>
    <w:link w:val="a5"/>
    <w:uiPriority w:val="99"/>
    <w:rsid w:val="00E736D2"/>
    <w:rPr>
      <w:sz w:val="18"/>
      <w:szCs w:val="18"/>
    </w:rPr>
  </w:style>
  <w:style w:type="paragraph" w:styleId="a7">
    <w:name w:val="Balloon Text"/>
    <w:basedOn w:val="a"/>
    <w:link w:val="a8"/>
    <w:uiPriority w:val="99"/>
    <w:semiHidden/>
    <w:unhideWhenUsed/>
    <w:rsid w:val="00A23C3E"/>
    <w:rPr>
      <w:sz w:val="18"/>
      <w:szCs w:val="18"/>
    </w:rPr>
  </w:style>
  <w:style w:type="character" w:customStyle="1" w:styleId="a8">
    <w:name w:val="批注框文本 字符"/>
    <w:basedOn w:val="a0"/>
    <w:link w:val="a7"/>
    <w:uiPriority w:val="99"/>
    <w:semiHidden/>
    <w:rsid w:val="00A23C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683</Words>
  <Characters>3897</Characters>
  <Application>Microsoft Office Word</Application>
  <DocSecurity>0</DocSecurity>
  <Lines>32</Lines>
  <Paragraphs>9</Paragraphs>
  <ScaleCrop>false</ScaleCrop>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CC</cp:lastModifiedBy>
  <cp:revision>3</cp:revision>
  <dcterms:created xsi:type="dcterms:W3CDTF">2020-08-11T06:40:00Z</dcterms:created>
  <dcterms:modified xsi:type="dcterms:W3CDTF">2020-09-17T03:06:00Z</dcterms:modified>
</cp:coreProperties>
</file>